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18" w:rsidRDefault="00BF385F">
      <w:pPr>
        <w:spacing w:before="93"/>
        <w:ind w:left="937" w:right="949"/>
        <w:jc w:val="center"/>
        <w:rPr>
          <w:b/>
          <w:sz w:val="23"/>
        </w:rPr>
      </w:pPr>
      <w:r>
        <w:rPr>
          <w:b/>
          <w:sz w:val="23"/>
        </w:rPr>
        <w:t>INDUSTRIAS, OBRAS O ACTIVIDADES QUE REQUIEREN PERMISO DE EMISIONES ATMOSFERICAS</w:t>
      </w:r>
    </w:p>
    <w:p w:rsidR="008C7F18" w:rsidRDefault="008C7F18">
      <w:pPr>
        <w:pStyle w:val="Textoindependiente"/>
        <w:spacing w:before="11"/>
        <w:ind w:left="0"/>
        <w:rPr>
          <w:b/>
          <w:sz w:val="22"/>
        </w:rPr>
      </w:pPr>
    </w:p>
    <w:p w:rsidR="008C7F18" w:rsidRDefault="00BF385F">
      <w:pPr>
        <w:ind w:left="937" w:right="948"/>
        <w:jc w:val="center"/>
        <w:rPr>
          <w:b/>
          <w:sz w:val="19"/>
        </w:rPr>
      </w:pPr>
      <w:r>
        <w:rPr>
          <w:b/>
          <w:sz w:val="19"/>
        </w:rPr>
        <w:t>Decreto 948 de 1995 y Resolución 0619 de 1997.</w:t>
      </w:r>
    </w:p>
    <w:p w:rsidR="008C7F18" w:rsidRDefault="008C7F18">
      <w:pPr>
        <w:pStyle w:val="Textoindependiente"/>
        <w:ind w:left="0"/>
        <w:rPr>
          <w:b/>
          <w:sz w:val="20"/>
        </w:rPr>
      </w:pPr>
    </w:p>
    <w:p w:rsidR="008C7F18" w:rsidRDefault="008C7F18">
      <w:pPr>
        <w:pStyle w:val="Textoindependiente"/>
        <w:spacing w:before="9"/>
        <w:ind w:left="0"/>
        <w:rPr>
          <w:b/>
          <w:sz w:val="17"/>
        </w:rPr>
      </w:pPr>
    </w:p>
    <w:p w:rsidR="008C7F18" w:rsidRDefault="00BF385F">
      <w:pPr>
        <w:ind w:left="102" w:right="107"/>
        <w:rPr>
          <w:sz w:val="21"/>
        </w:rPr>
      </w:pPr>
      <w:r>
        <w:rPr>
          <w:b/>
          <w:sz w:val="21"/>
        </w:rPr>
        <w:t>1.- Quemas abiertas controladas en zonas rurales</w:t>
      </w:r>
      <w:r>
        <w:rPr>
          <w:sz w:val="21"/>
        </w:rPr>
        <w:t>: Aquellas cuya área de quema semanal, sea igual o superior a:</w:t>
      </w:r>
    </w:p>
    <w:p w:rsidR="00094B0B" w:rsidRDefault="00094B0B">
      <w:pPr>
        <w:ind w:left="102" w:right="107"/>
        <w:rPr>
          <w:sz w:val="21"/>
        </w:rPr>
      </w:pPr>
    </w:p>
    <w:p w:rsidR="008C7F18" w:rsidRDefault="00BF385F" w:rsidP="00094B0B">
      <w:pPr>
        <w:pStyle w:val="Textoindependiente"/>
        <w:spacing w:line="360" w:lineRule="auto"/>
        <w:ind w:right="3292"/>
      </w:pPr>
      <w:r>
        <w:t xml:space="preserve">1.1.- Área a quemar de cultivo de caña de azúcar: 25 hectáreas. 1.2.- Área a quemar </w:t>
      </w:r>
      <w:proofErr w:type="spellStart"/>
      <w:r>
        <w:t>poscosecha</w:t>
      </w:r>
      <w:proofErr w:type="spellEnd"/>
      <w:r>
        <w:t xml:space="preserve"> de caña de azúcar: 25 hectáreas. 1.3.- Área a quemar </w:t>
      </w:r>
      <w:proofErr w:type="spellStart"/>
      <w:r>
        <w:t>poscosecha</w:t>
      </w:r>
      <w:proofErr w:type="spellEnd"/>
      <w:r>
        <w:t xml:space="preserve"> de maíz: 25 hectáreas</w:t>
      </w:r>
    </w:p>
    <w:p w:rsidR="008C7F18" w:rsidRDefault="00BF385F" w:rsidP="00094B0B">
      <w:pPr>
        <w:pStyle w:val="Textoindependiente"/>
        <w:spacing w:line="360" w:lineRule="auto"/>
        <w:ind w:right="3980"/>
      </w:pPr>
      <w:r>
        <w:t xml:space="preserve">1.4.- Área a quemar </w:t>
      </w:r>
      <w:proofErr w:type="spellStart"/>
      <w:r>
        <w:t>poscosecha</w:t>
      </w:r>
      <w:proofErr w:type="spellEnd"/>
      <w:r>
        <w:t xml:space="preserve"> de sorgo: 25 hectáreas. 1.5.- Área a quemar </w:t>
      </w:r>
      <w:proofErr w:type="spellStart"/>
      <w:r>
        <w:t>poscosecha</w:t>
      </w:r>
      <w:proofErr w:type="spellEnd"/>
      <w:r>
        <w:t xml:space="preserve"> de algodón: 25 hectáreas.</w:t>
      </w:r>
    </w:p>
    <w:p w:rsidR="008C7F18" w:rsidRDefault="008C7F18">
      <w:pPr>
        <w:pStyle w:val="Textoindependiente"/>
        <w:spacing w:before="1"/>
        <w:ind w:left="0"/>
      </w:pPr>
    </w:p>
    <w:p w:rsidR="008C7F18" w:rsidRDefault="00BF385F">
      <w:pPr>
        <w:pStyle w:val="Ttulo1"/>
        <w:ind w:right="107"/>
      </w:pPr>
      <w:r>
        <w:t>2.- Descarga de humos, gases, vapores, polvos o partículas por ductos o chimeneas de establecimientos industriales, comerciales o de servicios así:</w:t>
      </w:r>
    </w:p>
    <w:p w:rsidR="008C7F18" w:rsidRDefault="008C7F18">
      <w:pPr>
        <w:pStyle w:val="Textoindependiente"/>
        <w:ind w:left="0"/>
        <w:rPr>
          <w:b/>
        </w:rPr>
      </w:pPr>
    </w:p>
    <w:p w:rsidR="008C7F18" w:rsidRDefault="00BF385F" w:rsidP="00094B0B">
      <w:pPr>
        <w:pStyle w:val="Textoindependiente"/>
        <w:spacing w:before="1" w:line="360" w:lineRule="auto"/>
        <w:ind w:right="107"/>
        <w:jc w:val="both"/>
      </w:pPr>
      <w:r>
        <w:t>2.1.- Industria productora de cemento: todas las plantas de producción de cemento a partir de cualquier volumen de producción.</w:t>
      </w:r>
    </w:p>
    <w:p w:rsidR="008C7F18" w:rsidRDefault="00BF385F" w:rsidP="00094B0B">
      <w:pPr>
        <w:pStyle w:val="Textoindependiente"/>
        <w:spacing w:line="360" w:lineRule="auto"/>
        <w:ind w:right="654"/>
        <w:jc w:val="both"/>
      </w:pPr>
      <w:r>
        <w:t xml:space="preserve">2.2.- Industria con proceso de </w:t>
      </w:r>
      <w:proofErr w:type="spellStart"/>
      <w:r>
        <w:t>sinterización</w:t>
      </w:r>
      <w:proofErr w:type="spellEnd"/>
      <w:r>
        <w:t>: con capacidad de producción a partir de 5 Ton/día. 2.3.- Industria fabricante de carbonato de sodio con capacidad superior a 5 Ton/Día.</w:t>
      </w:r>
    </w:p>
    <w:p w:rsidR="008C7F18" w:rsidRDefault="00BF385F" w:rsidP="00094B0B">
      <w:pPr>
        <w:pStyle w:val="Textoindependiente"/>
        <w:spacing w:before="1" w:line="360" w:lineRule="auto"/>
        <w:ind w:right="107"/>
        <w:jc w:val="both"/>
      </w:pPr>
      <w:r>
        <w:t xml:space="preserve">2.4.- Industrias de producción de </w:t>
      </w:r>
      <w:r w:rsidR="00094B0B">
        <w:t>ácido</w:t>
      </w:r>
      <w:r>
        <w:t xml:space="preserve"> nítrico: todas a partir de cualquier volumen de producción. 2.5.- Industrias de producción de </w:t>
      </w:r>
      <w:r w:rsidR="00094B0B">
        <w:t>ácido</w:t>
      </w:r>
      <w:r>
        <w:t xml:space="preserve"> sulfúrico: todas a partir de cualquier volumen de producción. 2.6.- Industrias de fabricación de </w:t>
      </w:r>
      <w:r w:rsidR="00094B0B">
        <w:t>ácido</w:t>
      </w:r>
      <w:r>
        <w:t xml:space="preserve"> clorhídrico: todas a partir de cualquier volumen de producción.</w:t>
      </w:r>
    </w:p>
    <w:p w:rsidR="008C7F18" w:rsidRDefault="00BF385F" w:rsidP="00094B0B">
      <w:pPr>
        <w:pStyle w:val="Textoindependiente"/>
        <w:spacing w:line="360" w:lineRule="auto"/>
        <w:ind w:right="654"/>
        <w:jc w:val="both"/>
      </w:pPr>
      <w:r>
        <w:t>2.7.- Industria fabricante de productos que contengan asbesto: A partir de una ton/día de producción.</w:t>
      </w:r>
    </w:p>
    <w:p w:rsidR="008C7F18" w:rsidRDefault="00BF385F" w:rsidP="00094B0B">
      <w:pPr>
        <w:pStyle w:val="Textoindependiente"/>
        <w:spacing w:line="360" w:lineRule="auto"/>
        <w:jc w:val="both"/>
      </w:pPr>
      <w:r>
        <w:t>2.8.- industria fabricante de caucho sintético a partir de 2 Ton/Día.</w:t>
      </w:r>
    </w:p>
    <w:p w:rsidR="008C7F18" w:rsidRDefault="00BF385F" w:rsidP="00094B0B">
      <w:pPr>
        <w:pStyle w:val="Textoindependiente"/>
        <w:spacing w:line="360" w:lineRule="auto"/>
        <w:ind w:right="107"/>
        <w:jc w:val="both"/>
      </w:pPr>
      <w:r>
        <w:t>2.9.- Industria molinera: molinos, harineras y trilladoras de arroz, café, desmotadoras de algodón y leguminosas, con capacidad de producción igual o superior a 2 Ton/Día.</w:t>
      </w:r>
    </w:p>
    <w:p w:rsidR="008C7F18" w:rsidRDefault="00BF385F" w:rsidP="00094B0B">
      <w:pPr>
        <w:pStyle w:val="Textoindependiente"/>
        <w:spacing w:line="360" w:lineRule="auto"/>
        <w:ind w:right="900"/>
        <w:jc w:val="both"/>
      </w:pPr>
      <w:r>
        <w:t xml:space="preserve">2.10.- Industria </w:t>
      </w:r>
      <w:proofErr w:type="spellStart"/>
      <w:r>
        <w:t>carboquímica</w:t>
      </w:r>
      <w:proofErr w:type="spellEnd"/>
      <w:r>
        <w:t>: todas las plantas a partir de cualquier volumen de producción. 2.11.- Fabricación de tela asfáltica a partir de 3 ton/día de producción.</w:t>
      </w:r>
    </w:p>
    <w:p w:rsidR="008C7F18" w:rsidRDefault="00BF385F" w:rsidP="00094B0B">
      <w:pPr>
        <w:pStyle w:val="Textoindependiente"/>
        <w:spacing w:line="360" w:lineRule="auto"/>
        <w:ind w:right="107"/>
        <w:jc w:val="both"/>
      </w:pPr>
      <w:r>
        <w:t>2.12.- Industria productora de llantas y cámaras de caucho natural y sintético: todas a partir de cualquier volumen de producción.</w:t>
      </w:r>
    </w:p>
    <w:p w:rsidR="008C7F18" w:rsidRDefault="00BF385F" w:rsidP="00094B0B">
      <w:pPr>
        <w:pStyle w:val="Textoindependiente"/>
        <w:spacing w:line="360" w:lineRule="auto"/>
        <w:ind w:right="107"/>
        <w:jc w:val="both"/>
      </w:pPr>
      <w:r>
        <w:t xml:space="preserve">2.13.- Plantas de preparación o beneficio de minerales o materiales cerámicos o </w:t>
      </w:r>
      <w:proofErr w:type="spellStart"/>
      <w:r>
        <w:t>silicocalcareos</w:t>
      </w:r>
      <w:proofErr w:type="spellEnd"/>
      <w:r>
        <w:t>: cuando la capacidad de molienda sea superior a 5 Ton/día.</w:t>
      </w:r>
    </w:p>
    <w:p w:rsidR="008C7F18" w:rsidRDefault="00BF385F" w:rsidP="00094B0B">
      <w:pPr>
        <w:pStyle w:val="Textoindependiente"/>
        <w:spacing w:line="360" w:lineRule="auto"/>
        <w:ind w:right="480"/>
        <w:jc w:val="both"/>
      </w:pPr>
      <w:r>
        <w:t>2.14.- Industrias de producción de mezclas asfálticas con hornos de secado de 30 ton/día o más. 2.15.- Industria de fundición de acero con hornos de fundición de más de 2 Ton/Día.</w:t>
      </w:r>
    </w:p>
    <w:p w:rsidR="008C7F18" w:rsidRDefault="00BF385F" w:rsidP="00094B0B">
      <w:pPr>
        <w:pStyle w:val="Textoindependiente"/>
        <w:spacing w:line="360" w:lineRule="auto"/>
        <w:ind w:right="814"/>
        <w:jc w:val="both"/>
      </w:pPr>
      <w:r>
        <w:lastRenderedPageBreak/>
        <w:t>2.16.- Industria de fundición de hierro gris con hornos de fundición de más de 2 Ton/Día. 2.17.- Industria de fundición de cobre y bronce con hornos de fundición de más de 2 Ton/Día.</w:t>
      </w:r>
    </w:p>
    <w:p w:rsidR="008C7F18" w:rsidRDefault="00BF385F" w:rsidP="00094B0B">
      <w:pPr>
        <w:pStyle w:val="Textoindependiente"/>
        <w:spacing w:line="360" w:lineRule="auto"/>
        <w:ind w:right="152"/>
        <w:jc w:val="both"/>
      </w:pPr>
      <w:r>
        <w:t>2.18.- Industria de fundición de plomo con hornos de fundición y recuperación de 100 Kg/día o más. 2.19.- Industria de fundición de aluminio con hornos de fundición y recuperación de 2 ton/día o más. 2.20.- Industria de producción de detergentes con hornos de rociado y secado a partir de 5 ton/día. 2.21.- Industria productora de carburo de calcio con hornos de fundición de 5 ton/día.</w:t>
      </w:r>
    </w:p>
    <w:p w:rsidR="008C7F18" w:rsidRDefault="00BF385F" w:rsidP="00094B0B">
      <w:pPr>
        <w:pStyle w:val="Textoindependiente"/>
        <w:spacing w:line="360" w:lineRule="auto"/>
        <w:ind w:right="654"/>
        <w:jc w:val="both"/>
      </w:pPr>
      <w:r>
        <w:t xml:space="preserve">2.22.- Industria de producción de </w:t>
      </w:r>
      <w:proofErr w:type="spellStart"/>
      <w:r>
        <w:t>coke</w:t>
      </w:r>
      <w:proofErr w:type="spellEnd"/>
      <w:r>
        <w:t xml:space="preserve"> metalúrgico: los hornos de coquización a partir de 10 Ton/Día.</w:t>
      </w:r>
    </w:p>
    <w:p w:rsidR="00817557" w:rsidRDefault="00BF385F" w:rsidP="00817557">
      <w:pPr>
        <w:pStyle w:val="Textoindependiente"/>
        <w:spacing w:line="360" w:lineRule="auto"/>
        <w:ind w:right="432"/>
        <w:jc w:val="both"/>
      </w:pPr>
      <w:r>
        <w:t>2.23.- Industria siderúrgica: cuando la capacidad del alto horno sea igual o superior a 10 Ton/Día. 2.24.- Industria de producción de cal: cuando la capacidad del horno sea superior a 20 ton/ día.</w:t>
      </w:r>
    </w:p>
    <w:p w:rsidR="008C7F18" w:rsidRDefault="00BF385F" w:rsidP="00817557">
      <w:pPr>
        <w:pStyle w:val="Textoindependiente"/>
        <w:spacing w:line="360" w:lineRule="auto"/>
        <w:ind w:right="432"/>
        <w:jc w:val="both"/>
      </w:pPr>
      <w:r>
        <w:t>2.25.- Industria fabricante de fibra de vidrio: cuando la capacidad del horno de fusión sea superior a 2</w:t>
      </w:r>
      <w:r>
        <w:rPr>
          <w:spacing w:val="-1"/>
        </w:rPr>
        <w:t xml:space="preserve"> </w:t>
      </w:r>
      <w:r>
        <w:t>Ton/Día.</w:t>
      </w:r>
    </w:p>
    <w:p w:rsidR="008C7F18" w:rsidRDefault="00BF385F" w:rsidP="00817557">
      <w:pPr>
        <w:pStyle w:val="Textoindependiente"/>
        <w:spacing w:line="360" w:lineRule="auto"/>
        <w:ind w:right="107"/>
      </w:pPr>
      <w:r>
        <w:t>2.26.- Industria fabricante de vidrio cuando la capacidad del horno de fusión sea superior a 1 Ton/Día.</w:t>
      </w:r>
    </w:p>
    <w:p w:rsidR="008C7F18" w:rsidRDefault="00BF385F" w:rsidP="00817557">
      <w:pPr>
        <w:pStyle w:val="Textoindependiente"/>
        <w:spacing w:line="360" w:lineRule="auto"/>
      </w:pPr>
      <w:r>
        <w:t>2.27.- Industria de fabricación de yeso con hornos de calcinación de 2 o más Ton/Día.</w:t>
      </w:r>
    </w:p>
    <w:p w:rsidR="008C7F18" w:rsidRDefault="00BF385F" w:rsidP="00817557">
      <w:pPr>
        <w:pStyle w:val="Textoindependiente"/>
        <w:spacing w:line="360" w:lineRule="auto"/>
        <w:ind w:right="107"/>
      </w:pPr>
      <w:r>
        <w:t>2.28.- Industria productora de papel: todas las plantas que posean calderas de recuperación, a partir de cualquier volumen de producción.</w:t>
      </w:r>
    </w:p>
    <w:p w:rsidR="008C7F18" w:rsidRDefault="00BF385F" w:rsidP="00817557">
      <w:pPr>
        <w:pStyle w:val="Textoindependiente"/>
        <w:spacing w:line="360" w:lineRule="auto"/>
        <w:ind w:right="326"/>
      </w:pPr>
      <w:r>
        <w:t xml:space="preserve">2.29.- Industria fabricante de pinturas con hornos de cocción de 2 o más ton/día de capacidad. 2.30.- Industria fabricante de fertilizantes con hornos de secado con capacidad de 2 </w:t>
      </w:r>
      <w:proofErr w:type="spellStart"/>
      <w:r>
        <w:t>ó</w:t>
      </w:r>
      <w:proofErr w:type="spellEnd"/>
      <w:r>
        <w:t xml:space="preserve"> más ton/día.</w:t>
      </w:r>
    </w:p>
    <w:p w:rsidR="008C7F18" w:rsidRDefault="00BF385F" w:rsidP="00817557">
      <w:pPr>
        <w:pStyle w:val="Textoindependiente"/>
        <w:spacing w:line="360" w:lineRule="auto"/>
        <w:ind w:right="654"/>
      </w:pPr>
      <w:r>
        <w:t>2.31.- Fabricación de objetos de barro, loza y porcelana, cuando el horno de cocción tenga capacidad igual o superior a 5 Ton/Día.</w:t>
      </w:r>
    </w:p>
    <w:p w:rsidR="008C7F18" w:rsidRDefault="00BF385F">
      <w:pPr>
        <w:pStyle w:val="Ttulo1"/>
        <w:spacing w:before="207"/>
      </w:pPr>
      <w:r>
        <w:t>3.- Incineración de residuos sólidos, líquidos y gaseosos, así:</w:t>
      </w:r>
    </w:p>
    <w:p w:rsidR="008C7F18" w:rsidRDefault="008C7F18">
      <w:pPr>
        <w:pStyle w:val="Textoindependiente"/>
        <w:ind w:left="0"/>
        <w:rPr>
          <w:b/>
        </w:rPr>
      </w:pPr>
    </w:p>
    <w:p w:rsidR="008C7F18" w:rsidRDefault="00BF385F" w:rsidP="00817557">
      <w:pPr>
        <w:pStyle w:val="Textoindependiente"/>
        <w:spacing w:line="360" w:lineRule="auto"/>
      </w:pPr>
      <w:r>
        <w:t>3.1.- Incineración de residuos patológicos: todos los incineradores.</w:t>
      </w:r>
    </w:p>
    <w:p w:rsidR="008C7F18" w:rsidRDefault="00BF385F" w:rsidP="00817557">
      <w:pPr>
        <w:pStyle w:val="Textoindependiente"/>
        <w:spacing w:before="1" w:line="360" w:lineRule="auto"/>
        <w:ind w:right="107"/>
      </w:pPr>
      <w:r>
        <w:t xml:space="preserve">3.2.- Incineración de residuos industriales no peligrosos: 100 Kg/Día o 100 </w:t>
      </w:r>
      <w:proofErr w:type="spellStart"/>
      <w:r>
        <w:t>Lt</w:t>
      </w:r>
      <w:proofErr w:type="spellEnd"/>
      <w:r>
        <w:t>/Día para incineradores de líquidos.</w:t>
      </w:r>
    </w:p>
    <w:p w:rsidR="008C7F18" w:rsidRDefault="00BF385F" w:rsidP="00817557">
      <w:pPr>
        <w:pStyle w:val="Textoindependiente"/>
        <w:spacing w:line="360" w:lineRule="auto"/>
      </w:pPr>
      <w:r>
        <w:t>3.3.- Incineración de residuos industriales peligrosos: todos los incineradores.</w:t>
      </w:r>
    </w:p>
    <w:p w:rsidR="008C7F18" w:rsidRDefault="00BF385F" w:rsidP="00817557">
      <w:pPr>
        <w:pStyle w:val="Textoindependiente"/>
        <w:spacing w:line="360" w:lineRule="auto"/>
        <w:ind w:right="107"/>
      </w:pPr>
      <w:r>
        <w:t>3.4.- Incineración de uso múltiple (aquellos habilitados para más de una de las categorías de residuos mencionados en los numerales anteriores de este punto): todos los incineradores.</w:t>
      </w:r>
    </w:p>
    <w:p w:rsidR="008C7F18" w:rsidRDefault="00BF385F" w:rsidP="00817557">
      <w:pPr>
        <w:pStyle w:val="Textoindependiente"/>
        <w:spacing w:before="1" w:line="360" w:lineRule="auto"/>
      </w:pPr>
      <w:r>
        <w:t>3.5.- Incineración de residuos domésticos: 100 Kg/hora.</w:t>
      </w:r>
    </w:p>
    <w:p w:rsidR="008C7F18" w:rsidRDefault="00BF385F">
      <w:pPr>
        <w:pStyle w:val="Ttulo1"/>
        <w:spacing w:before="208"/>
      </w:pPr>
      <w:bookmarkStart w:id="0" w:name="_GoBack"/>
      <w:bookmarkEnd w:id="0"/>
      <w:r>
        <w:t>4.- Operación de calderas o incineradores por un establecimiento</w:t>
      </w:r>
    </w:p>
    <w:p w:rsidR="008C7F18" w:rsidRDefault="008C7F18">
      <w:pPr>
        <w:pStyle w:val="Textoindependiente"/>
        <w:spacing w:before="10"/>
        <w:ind w:left="0"/>
        <w:rPr>
          <w:b/>
          <w:sz w:val="20"/>
        </w:rPr>
      </w:pPr>
    </w:p>
    <w:p w:rsidR="008C7F18" w:rsidRDefault="00BF385F" w:rsidP="00817557">
      <w:pPr>
        <w:pStyle w:val="Textoindependiente"/>
        <w:spacing w:before="1" w:line="360" w:lineRule="auto"/>
        <w:ind w:right="107"/>
      </w:pPr>
      <w:r>
        <w:t>Industrial o comercial y otras actividades con descarga de humos, gases, vapores, polvos o partículas por ductos o chimeneas.</w:t>
      </w:r>
    </w:p>
    <w:p w:rsidR="008C7F18" w:rsidRDefault="00BF385F" w:rsidP="00817557">
      <w:pPr>
        <w:pStyle w:val="Textoindependiente"/>
        <w:spacing w:line="360" w:lineRule="auto"/>
        <w:ind w:right="107"/>
      </w:pPr>
      <w:r>
        <w:lastRenderedPageBreak/>
        <w:t>4.1.- Industrias, obras, actividades o servicios que cuenten con calderas y hornos, cuyo consumo nominal de combustible sea igual o superior a:</w:t>
      </w:r>
    </w:p>
    <w:p w:rsidR="008C7F18" w:rsidRDefault="00BF385F" w:rsidP="00817557">
      <w:pPr>
        <w:pStyle w:val="Prrafodelista"/>
        <w:numPr>
          <w:ilvl w:val="0"/>
          <w:numId w:val="1"/>
        </w:numPr>
        <w:tabs>
          <w:tab w:val="left" w:pos="347"/>
        </w:tabs>
        <w:spacing w:line="360" w:lineRule="auto"/>
        <w:rPr>
          <w:sz w:val="21"/>
        </w:rPr>
      </w:pPr>
      <w:r>
        <w:rPr>
          <w:sz w:val="21"/>
        </w:rPr>
        <w:t>Carbón mineral: 500</w:t>
      </w:r>
      <w:r>
        <w:rPr>
          <w:spacing w:val="-5"/>
          <w:sz w:val="21"/>
        </w:rPr>
        <w:t xml:space="preserve"> </w:t>
      </w:r>
      <w:r>
        <w:rPr>
          <w:sz w:val="21"/>
        </w:rPr>
        <w:t>Kg/hora</w:t>
      </w:r>
    </w:p>
    <w:p w:rsidR="008C7F18" w:rsidRDefault="00BF385F" w:rsidP="00817557">
      <w:pPr>
        <w:pStyle w:val="Prrafodelista"/>
        <w:numPr>
          <w:ilvl w:val="0"/>
          <w:numId w:val="1"/>
        </w:numPr>
        <w:tabs>
          <w:tab w:val="left" w:pos="347"/>
        </w:tabs>
        <w:spacing w:line="360" w:lineRule="auto"/>
        <w:rPr>
          <w:sz w:val="21"/>
        </w:rPr>
      </w:pPr>
      <w:r>
        <w:rPr>
          <w:sz w:val="21"/>
        </w:rPr>
        <w:t>Bagazo de caña: 3000</w:t>
      </w:r>
      <w:r>
        <w:rPr>
          <w:spacing w:val="-7"/>
          <w:sz w:val="21"/>
        </w:rPr>
        <w:t xml:space="preserve"> </w:t>
      </w:r>
      <w:r>
        <w:rPr>
          <w:sz w:val="21"/>
        </w:rPr>
        <w:t>ton/año</w:t>
      </w:r>
    </w:p>
    <w:p w:rsidR="008C7F18" w:rsidRDefault="00BF385F" w:rsidP="00817557">
      <w:pPr>
        <w:pStyle w:val="Prrafodelista"/>
        <w:numPr>
          <w:ilvl w:val="0"/>
          <w:numId w:val="1"/>
        </w:numPr>
        <w:tabs>
          <w:tab w:val="left" w:pos="359"/>
        </w:tabs>
        <w:spacing w:line="360" w:lineRule="auto"/>
        <w:ind w:left="102" w:right="113" w:firstLine="0"/>
        <w:rPr>
          <w:rFonts w:ascii="Times New Roman" w:hAnsi="Times New Roman"/>
          <w:sz w:val="23"/>
        </w:rPr>
      </w:pPr>
      <w:r>
        <w:rPr>
          <w:sz w:val="21"/>
        </w:rPr>
        <w:t xml:space="preserve">100 galones/hora de cualquier combustible líquido, tales como ACPM, Fuel </w:t>
      </w:r>
      <w:proofErr w:type="spellStart"/>
      <w:r>
        <w:rPr>
          <w:sz w:val="21"/>
        </w:rPr>
        <w:t>Oil</w:t>
      </w:r>
      <w:proofErr w:type="spellEnd"/>
      <w:r>
        <w:rPr>
          <w:sz w:val="21"/>
        </w:rPr>
        <w:t xml:space="preserve"> o Combustóleo, Bunker, petróleo</w:t>
      </w:r>
      <w:r>
        <w:rPr>
          <w:spacing w:val="-4"/>
          <w:sz w:val="21"/>
        </w:rPr>
        <w:t xml:space="preserve"> </w:t>
      </w:r>
      <w:r>
        <w:rPr>
          <w:sz w:val="21"/>
        </w:rPr>
        <w:t>crudo.</w:t>
      </w:r>
    </w:p>
    <w:sectPr w:rsidR="008C7F18">
      <w:headerReference w:type="default" r:id="rId7"/>
      <w:footerReference w:type="default" r:id="rId8"/>
      <w:pgSz w:w="12240" w:h="15840"/>
      <w:pgMar w:top="1560" w:right="1020" w:bottom="1940" w:left="1600" w:header="517" w:footer="1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33" w:rsidRDefault="00483933">
      <w:r>
        <w:separator/>
      </w:r>
    </w:p>
  </w:endnote>
  <w:endnote w:type="continuationSeparator" w:id="0">
    <w:p w:rsidR="00483933" w:rsidRDefault="0048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18" w:rsidRDefault="00203E01">
    <w:pPr>
      <w:pStyle w:val="Textoindependiente"/>
      <w:spacing w:line="14" w:lineRule="auto"/>
      <w:ind w:left="0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-127000</wp:posOffset>
          </wp:positionV>
          <wp:extent cx="5577840" cy="914400"/>
          <wp:effectExtent l="0" t="0" r="3810" b="0"/>
          <wp:wrapThrough wrapText="bothSides">
            <wp:wrapPolygon edited="0">
              <wp:start x="0" y="0"/>
              <wp:lineTo x="0" y="21150"/>
              <wp:lineTo x="21541" y="21150"/>
              <wp:lineTo x="2154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33" w:rsidRDefault="00483933">
      <w:r>
        <w:separator/>
      </w:r>
    </w:p>
  </w:footnote>
  <w:footnote w:type="continuationSeparator" w:id="0">
    <w:p w:rsidR="00483933" w:rsidRDefault="0048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18" w:rsidRDefault="00203E01" w:rsidP="00203E01">
    <w:pPr>
      <w:pStyle w:val="Textoindependiente"/>
      <w:spacing w:line="14" w:lineRule="auto"/>
      <w:ind w:left="0"/>
      <w:jc w:val="center"/>
      <w:rPr>
        <w:sz w:val="20"/>
      </w:rPr>
    </w:pPr>
    <w:r>
      <w:rPr>
        <w:noProof/>
        <w:lang w:val="es-CO" w:eastAsia="es-CO"/>
      </w:rPr>
      <w:drawing>
        <wp:inline distT="0" distB="0" distL="0" distR="0" wp14:anchorId="2BCA561E" wp14:editId="0C56941F">
          <wp:extent cx="2468880" cy="822960"/>
          <wp:effectExtent l="0" t="0" r="762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0C51"/>
    <w:multiLevelType w:val="hybridMultilevel"/>
    <w:tmpl w:val="67661746"/>
    <w:lvl w:ilvl="0" w:tplc="32AC6DB0">
      <w:start w:val="1"/>
      <w:numFmt w:val="lowerLetter"/>
      <w:lvlText w:val="%1)"/>
      <w:lvlJc w:val="left"/>
      <w:pPr>
        <w:ind w:left="346" w:hanging="245"/>
      </w:pPr>
      <w:rPr>
        <w:rFonts w:hint="default"/>
        <w:w w:val="100"/>
        <w:lang w:val="es-ES" w:eastAsia="es-ES" w:bidi="es-ES"/>
      </w:rPr>
    </w:lvl>
    <w:lvl w:ilvl="1" w:tplc="76B0D172">
      <w:numFmt w:val="bullet"/>
      <w:lvlText w:val="•"/>
      <w:lvlJc w:val="left"/>
      <w:pPr>
        <w:ind w:left="1268" w:hanging="245"/>
      </w:pPr>
      <w:rPr>
        <w:rFonts w:hint="default"/>
        <w:lang w:val="es-ES" w:eastAsia="es-ES" w:bidi="es-ES"/>
      </w:rPr>
    </w:lvl>
    <w:lvl w:ilvl="2" w:tplc="AE28C7F2">
      <w:numFmt w:val="bullet"/>
      <w:lvlText w:val="•"/>
      <w:lvlJc w:val="left"/>
      <w:pPr>
        <w:ind w:left="2196" w:hanging="245"/>
      </w:pPr>
      <w:rPr>
        <w:rFonts w:hint="default"/>
        <w:lang w:val="es-ES" w:eastAsia="es-ES" w:bidi="es-ES"/>
      </w:rPr>
    </w:lvl>
    <w:lvl w:ilvl="3" w:tplc="2CAC44C2">
      <w:numFmt w:val="bullet"/>
      <w:lvlText w:val="•"/>
      <w:lvlJc w:val="left"/>
      <w:pPr>
        <w:ind w:left="3124" w:hanging="245"/>
      </w:pPr>
      <w:rPr>
        <w:rFonts w:hint="default"/>
        <w:lang w:val="es-ES" w:eastAsia="es-ES" w:bidi="es-ES"/>
      </w:rPr>
    </w:lvl>
    <w:lvl w:ilvl="4" w:tplc="4AB469CA">
      <w:numFmt w:val="bullet"/>
      <w:lvlText w:val="•"/>
      <w:lvlJc w:val="left"/>
      <w:pPr>
        <w:ind w:left="4052" w:hanging="245"/>
      </w:pPr>
      <w:rPr>
        <w:rFonts w:hint="default"/>
        <w:lang w:val="es-ES" w:eastAsia="es-ES" w:bidi="es-ES"/>
      </w:rPr>
    </w:lvl>
    <w:lvl w:ilvl="5" w:tplc="F0E87F1E">
      <w:numFmt w:val="bullet"/>
      <w:lvlText w:val="•"/>
      <w:lvlJc w:val="left"/>
      <w:pPr>
        <w:ind w:left="4980" w:hanging="245"/>
      </w:pPr>
      <w:rPr>
        <w:rFonts w:hint="default"/>
        <w:lang w:val="es-ES" w:eastAsia="es-ES" w:bidi="es-ES"/>
      </w:rPr>
    </w:lvl>
    <w:lvl w:ilvl="6" w:tplc="4626B508">
      <w:numFmt w:val="bullet"/>
      <w:lvlText w:val="•"/>
      <w:lvlJc w:val="left"/>
      <w:pPr>
        <w:ind w:left="5908" w:hanging="245"/>
      </w:pPr>
      <w:rPr>
        <w:rFonts w:hint="default"/>
        <w:lang w:val="es-ES" w:eastAsia="es-ES" w:bidi="es-ES"/>
      </w:rPr>
    </w:lvl>
    <w:lvl w:ilvl="7" w:tplc="968E3B22">
      <w:numFmt w:val="bullet"/>
      <w:lvlText w:val="•"/>
      <w:lvlJc w:val="left"/>
      <w:pPr>
        <w:ind w:left="6836" w:hanging="245"/>
      </w:pPr>
      <w:rPr>
        <w:rFonts w:hint="default"/>
        <w:lang w:val="es-ES" w:eastAsia="es-ES" w:bidi="es-ES"/>
      </w:rPr>
    </w:lvl>
    <w:lvl w:ilvl="8" w:tplc="F3A82D5A">
      <w:numFmt w:val="bullet"/>
      <w:lvlText w:val="•"/>
      <w:lvlJc w:val="left"/>
      <w:pPr>
        <w:ind w:left="7764" w:hanging="24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18"/>
    <w:rsid w:val="00094B0B"/>
    <w:rsid w:val="00203E01"/>
    <w:rsid w:val="00483933"/>
    <w:rsid w:val="004D1F94"/>
    <w:rsid w:val="006C6EE6"/>
    <w:rsid w:val="00817557"/>
    <w:rsid w:val="008C7F18"/>
    <w:rsid w:val="00975617"/>
    <w:rsid w:val="00A041AE"/>
    <w:rsid w:val="00BF385F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85797B-B2E9-45DA-B09D-DD173562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346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4B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B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4B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B0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 TÉCNICO No</vt:lpstr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 TÉCNICO No</dc:title>
  <dc:creator>UNIVERSIDAD INDUSTRIAL DE SANTANDER</dc:creator>
  <cp:lastModifiedBy>LUISA.AGUILAR</cp:lastModifiedBy>
  <cp:revision>5</cp:revision>
  <cp:lastPrinted>2020-02-05T20:53:00Z</cp:lastPrinted>
  <dcterms:created xsi:type="dcterms:W3CDTF">2020-02-05T21:05:00Z</dcterms:created>
  <dcterms:modified xsi:type="dcterms:W3CDTF">2020-02-05T21:06:00Z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